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F7" w:rsidRDefault="00C368F7" w:rsidP="00C368F7">
      <w:pPr>
        <w:jc w:val="center"/>
        <w:rPr>
          <w:rFonts w:ascii="Arial Black" w:hAnsi="Arial Black"/>
        </w:rPr>
      </w:pPr>
      <w:r w:rsidRPr="00491D55">
        <w:rPr>
          <w:rFonts w:ascii="Arial Black" w:hAnsi="Arial Black"/>
        </w:rPr>
        <w:t>Výroční zpráv</w:t>
      </w:r>
      <w:r>
        <w:rPr>
          <w:rFonts w:ascii="Arial Black" w:hAnsi="Arial Black"/>
        </w:rPr>
        <w:t>a Rodinného ce</w:t>
      </w:r>
      <w:r w:rsidR="00E9128C">
        <w:rPr>
          <w:rFonts w:ascii="Arial Black" w:hAnsi="Arial Black"/>
        </w:rPr>
        <w:t xml:space="preserve">ntra NA MYŠÁKU, </w:t>
      </w:r>
      <w:proofErr w:type="gramStart"/>
      <w:r w:rsidR="00E9128C">
        <w:rPr>
          <w:rFonts w:ascii="Arial Black" w:hAnsi="Arial Black"/>
        </w:rPr>
        <w:t>o.s.</w:t>
      </w:r>
      <w:proofErr w:type="gramEnd"/>
      <w:r w:rsidR="00E9128C">
        <w:rPr>
          <w:rFonts w:ascii="Arial Black" w:hAnsi="Arial Black"/>
        </w:rPr>
        <w:t xml:space="preserve"> za rok 201</w:t>
      </w:r>
      <w:r w:rsidR="002D52FC">
        <w:rPr>
          <w:rFonts w:ascii="Arial Black" w:hAnsi="Arial Black"/>
        </w:rPr>
        <w:t>4</w:t>
      </w:r>
    </w:p>
    <w:p w:rsidR="00C368F7" w:rsidRPr="003B2224" w:rsidRDefault="00C368F7" w:rsidP="00C368F7">
      <w:pPr>
        <w:jc w:val="both"/>
      </w:pPr>
      <w:r>
        <w:t>Rodinné centrum NA MYŠÁKU, o.s. má k  </w:t>
      </w:r>
      <w:proofErr w:type="gramStart"/>
      <w:r>
        <w:t xml:space="preserve">31 .12.2014 </w:t>
      </w:r>
      <w:r w:rsidRPr="00CE289E">
        <w:t>14</w:t>
      </w:r>
      <w:proofErr w:type="gramEnd"/>
      <w:r>
        <w:t xml:space="preserve"> rodin, které se aktivně podílí na činnosti centra. V průběhu roku byly změněny webové </w:t>
      </w:r>
      <w:r w:rsidRPr="003B2224">
        <w:t xml:space="preserve">stránky </w:t>
      </w:r>
      <w:r>
        <w:t xml:space="preserve">na </w:t>
      </w:r>
      <w:hyperlink r:id="rId5" w:history="1">
        <w:r w:rsidRPr="00FD3C00">
          <w:rPr>
            <w:rStyle w:val="Hypertextovodkaz"/>
          </w:rPr>
          <w:t>www.rcnamysaku.cz</w:t>
        </w:r>
      </w:hyperlink>
      <w:r>
        <w:t xml:space="preserve">, které </w:t>
      </w:r>
      <w:r w:rsidRPr="00F94DB7">
        <w:t>j</w:t>
      </w:r>
      <w:r>
        <w:t>sou pravidelně doplňovány o nové aktuální informace.</w:t>
      </w:r>
    </w:p>
    <w:p w:rsidR="00C368F7" w:rsidRDefault="00C368F7" w:rsidP="00C368F7">
      <w:r>
        <w:t>V </w:t>
      </w:r>
      <w:proofErr w:type="gramStart"/>
      <w:r>
        <w:t>roce  2014</w:t>
      </w:r>
      <w:proofErr w:type="gramEnd"/>
      <w:r>
        <w:t xml:space="preserve"> byly podány žádosti na následující projekty a finanční výpomoc:</w:t>
      </w:r>
    </w:p>
    <w:p w:rsidR="00C368F7" w:rsidRDefault="00C368F7" w:rsidP="00C368F7">
      <w:r>
        <w:t xml:space="preserve">Obec </w:t>
      </w:r>
      <w:proofErr w:type="spellStart"/>
      <w:r>
        <w:t>Těšany</w:t>
      </w:r>
      <w:proofErr w:type="spellEnd"/>
      <w:r>
        <w:t xml:space="preserve"> – žádost o „ Finanční podporu Rodinného centra NA MYŠÁKU, </w:t>
      </w:r>
      <w:proofErr w:type="gramStart"/>
      <w:r>
        <w:t>o.s.</w:t>
      </w:r>
      <w:proofErr w:type="gramEnd"/>
      <w:r>
        <w:t xml:space="preserve">“ ve výši 20 000,-Kč. Žádost byla poskytnuta v rozdělené částce 2 x 10000,-Kč. </w:t>
      </w:r>
      <w:r w:rsidR="005B2BC2">
        <w:t>První část byla</w:t>
      </w:r>
      <w:r>
        <w:t xml:space="preserve"> využita na zajištění akce SLUNČNÍ SLAVNOST v měsíci červnu. Druhá část </w:t>
      </w:r>
      <w:r w:rsidR="005B2BC2">
        <w:t xml:space="preserve">na akci PONG </w:t>
      </w:r>
      <w:proofErr w:type="spellStart"/>
      <w:proofErr w:type="gramStart"/>
      <w:r w:rsidR="005B2BC2">
        <w:t>PONG</w:t>
      </w:r>
      <w:proofErr w:type="spellEnd"/>
      <w:r w:rsidR="005B2BC2">
        <w:t xml:space="preserve"> , </w:t>
      </w:r>
      <w:r w:rsidR="002F62C8">
        <w:t>režijní</w:t>
      </w:r>
      <w:proofErr w:type="gramEnd"/>
      <w:r w:rsidR="002F62C8">
        <w:t xml:space="preserve"> provozní výdaje a členský příspěvek MAS.</w:t>
      </w:r>
    </w:p>
    <w:p w:rsidR="00C368F7" w:rsidRDefault="00C368F7" w:rsidP="00C368F7">
      <w:r>
        <w:t xml:space="preserve">Pokračovaly pravidelné </w:t>
      </w:r>
      <w:proofErr w:type="gramStart"/>
      <w:r>
        <w:t>akce jako</w:t>
      </w:r>
      <w:proofErr w:type="gramEnd"/>
      <w:r>
        <w:t xml:space="preserve"> je Keramická dílna, Víkendová keramika, Angličtina hrou. </w:t>
      </w:r>
    </w:p>
    <w:p w:rsidR="00C368F7" w:rsidRDefault="00C368F7" w:rsidP="00C368F7">
      <w:r>
        <w:t xml:space="preserve">Byla obnovena pravidelná dopolední </w:t>
      </w:r>
      <w:r w:rsidR="002F62C8">
        <w:t xml:space="preserve">tvořivé </w:t>
      </w:r>
      <w:r>
        <w:t>setkáv</w:t>
      </w:r>
      <w:r w:rsidR="002F62C8">
        <w:t>ání rodičů s nejmenšími dětmi.</w:t>
      </w:r>
    </w:p>
    <w:p w:rsidR="00C368F7" w:rsidRDefault="00C368F7" w:rsidP="00C368F7">
      <w:r>
        <w:t xml:space="preserve">V létě se uskutečnil </w:t>
      </w:r>
      <w:r w:rsidR="002F62C8">
        <w:t xml:space="preserve">již druhý </w:t>
      </w:r>
      <w:r>
        <w:t xml:space="preserve">tábor Robinson v prostorách Orla </w:t>
      </w:r>
      <w:proofErr w:type="spellStart"/>
      <w:r>
        <w:t>Těšany</w:t>
      </w:r>
      <w:proofErr w:type="spellEnd"/>
      <w:r>
        <w:t>, kterého se zúčastnilo přes 20 dětí z </w:t>
      </w:r>
      <w:proofErr w:type="spellStart"/>
      <w:r>
        <w:t>Těšan</w:t>
      </w:r>
      <w:proofErr w:type="spellEnd"/>
      <w:r>
        <w:t>. Pro nejmenší byl koncipován jako příměstský docházkový tábor, starší děti přespával</w:t>
      </w:r>
      <w:r w:rsidR="002F62C8">
        <w:t>y ve stanech.  Po celý rok se děti setkávaly na</w:t>
      </w:r>
      <w:r>
        <w:t xml:space="preserve"> pravideln</w:t>
      </w:r>
      <w:r w:rsidR="002F62C8">
        <w:t>ých</w:t>
      </w:r>
      <w:r>
        <w:t xml:space="preserve"> schůzk</w:t>
      </w:r>
      <w:r w:rsidR="002F62C8">
        <w:t>ách</w:t>
      </w:r>
      <w:r>
        <w:t xml:space="preserve"> turistick</w:t>
      </w:r>
      <w:r w:rsidR="002F62C8">
        <w:t xml:space="preserve">ého </w:t>
      </w:r>
      <w:r>
        <w:t>oddíl</w:t>
      </w:r>
      <w:r w:rsidR="002F62C8">
        <w:t>u</w:t>
      </w:r>
      <w:r>
        <w:t xml:space="preserve"> Robinson</w:t>
      </w:r>
      <w:r w:rsidR="002F62C8">
        <w:t>.</w:t>
      </w:r>
    </w:p>
    <w:p w:rsidR="00C368F7" w:rsidRDefault="00C368F7" w:rsidP="00C368F7">
      <w:r>
        <w:t xml:space="preserve">Velkému zájmu se těšil ping </w:t>
      </w:r>
      <w:proofErr w:type="spellStart"/>
      <w:r>
        <w:t>pongový</w:t>
      </w:r>
      <w:proofErr w:type="spellEnd"/>
      <w:r>
        <w:t xml:space="preserve"> </w:t>
      </w:r>
      <w:proofErr w:type="gramStart"/>
      <w:r>
        <w:t>turnaj,  podpořený</w:t>
      </w:r>
      <w:proofErr w:type="gramEnd"/>
      <w:r>
        <w:t xml:space="preserve"> dotací z jihomoravského kraje a po dohodě se zúčastněnými rodinami se pokusíme z této akce vytvořit tradiční setkávání. </w:t>
      </w:r>
    </w:p>
    <w:p w:rsidR="004D7980" w:rsidRDefault="00C368F7" w:rsidP="004D7980">
      <w:r>
        <w:t>Pokračovala keramická dílna pro dospělé pod vedením zkušených lektorek</w:t>
      </w:r>
      <w:r w:rsidR="002F62C8">
        <w:t xml:space="preserve">. </w:t>
      </w:r>
      <w:r>
        <w:t xml:space="preserve">Proběhly i tradiční akce jako Vynášení Morény, Sluneční slavnost, Ahoj, prázdniny a Lampionový průvod. Samozřejmostí již je pomoc dalším organizacím v obci při pořádání akcí, jako jsou SDH </w:t>
      </w:r>
      <w:proofErr w:type="spellStart"/>
      <w:r>
        <w:t>Těšany</w:t>
      </w:r>
      <w:proofErr w:type="spellEnd"/>
      <w:r>
        <w:t xml:space="preserve"> – oddíl mladých hasičů a Orel </w:t>
      </w:r>
      <w:proofErr w:type="spellStart"/>
      <w:r>
        <w:t>Těšany</w:t>
      </w:r>
      <w:proofErr w:type="spellEnd"/>
      <w:r>
        <w:t>. Také jim děkujeme za pomoc.</w:t>
      </w:r>
    </w:p>
    <w:p w:rsidR="00937BA4" w:rsidRDefault="00937BA4" w:rsidP="00C368F7">
      <w:r>
        <w:t xml:space="preserve">Byla zahájena spolupráce </w:t>
      </w:r>
      <w:r w:rsidR="004D7980">
        <w:t xml:space="preserve">se spolkem </w:t>
      </w:r>
      <w:r>
        <w:t>Místní akční s</w:t>
      </w:r>
      <w:r w:rsidR="004D7980">
        <w:t>kupina</w:t>
      </w:r>
      <w:r>
        <w:t xml:space="preserve"> Slavkovské bojiště</w:t>
      </w:r>
      <w:r w:rsidR="004D7980">
        <w:t>. Předmětem činnosti spolku je všestranná podpora trvale udržitelného rozvoje daného území, zejména činnostmi ve prospěch obcí, neziskových organizací, drobných podnikatelů, malých a středních podniků a dalších subjektů sídlících nebo působících ve vymezeném území, s ohledem na ochranu přírody a krajiny. Od roku 2014 jsme také členy. Vladislava Vaněčková byla pověřena jako kontaktní osoba a v </w:t>
      </w:r>
      <w:proofErr w:type="gramStart"/>
      <w:r w:rsidR="004D7980">
        <w:t>MAS</w:t>
      </w:r>
      <w:proofErr w:type="gramEnd"/>
      <w:r w:rsidR="004D7980">
        <w:t xml:space="preserve"> byla zvolena pro rok 2014 do výběrové komise. Předpokládáme, že spolupráce povede k vzájemnému obohacení a podpoře organizovaných akcí.</w:t>
      </w:r>
    </w:p>
    <w:p w:rsidR="00C368F7" w:rsidRDefault="002F62C8" w:rsidP="00C368F7">
      <w:r>
        <w:t xml:space="preserve">V roce 2015 </w:t>
      </w:r>
      <w:r w:rsidR="004D7980">
        <w:t>plánujeme zahájit</w:t>
      </w:r>
      <w:r w:rsidR="00937BA4">
        <w:t xml:space="preserve"> hudební krouž</w:t>
      </w:r>
      <w:r w:rsidR="004D7980">
        <w:t>e</w:t>
      </w:r>
      <w:r w:rsidR="00B94AF4">
        <w:t>k pro nejmenší a jejich rodiče v</w:t>
      </w:r>
      <w:r w:rsidR="004D7980">
        <w:t xml:space="preserve"> dopoledních hodinách.</w:t>
      </w:r>
    </w:p>
    <w:p w:rsidR="00C368F7" w:rsidRDefault="00C368F7" w:rsidP="00C368F7">
      <w:r>
        <w:t>Výroční zprávu zpracovala:    Radka Sigmundová</w:t>
      </w:r>
    </w:p>
    <w:p w:rsidR="00C368F7" w:rsidRDefault="00937BA4" w:rsidP="00C368F7">
      <w:r>
        <w:t xml:space="preserve">Dne:    </w:t>
      </w:r>
      <w:proofErr w:type="gramStart"/>
      <w:r>
        <w:t>31.3.2015</w:t>
      </w:r>
      <w:proofErr w:type="gramEnd"/>
      <w:r w:rsidR="00C368F7">
        <w:tab/>
      </w:r>
    </w:p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tbl>
      <w:tblPr>
        <w:tblW w:w="858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70"/>
        <w:gridCol w:w="5238"/>
        <w:gridCol w:w="2373"/>
      </w:tblGrid>
      <w:tr w:rsidR="00814C80" w:rsidRPr="00814C80" w:rsidTr="00814C80">
        <w:trPr>
          <w:trHeight w:val="315"/>
        </w:trPr>
        <w:tc>
          <w:tcPr>
            <w:tcW w:w="85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     ZPRÁVA HOSPODAŘENÍ Rodinného centra NA MYŠÁKU, </w:t>
            </w:r>
            <w:proofErr w:type="gramStart"/>
            <w:r w:rsidRPr="00814C80">
              <w:rPr>
                <w:b/>
                <w:bCs/>
                <w:color w:val="000000"/>
                <w:sz w:val="24"/>
                <w:szCs w:val="24"/>
              </w:rPr>
              <w:t>o.s.</w:t>
            </w:r>
            <w:proofErr w:type="gramEnd"/>
            <w:r w:rsidRPr="00814C80">
              <w:rPr>
                <w:b/>
                <w:bCs/>
                <w:color w:val="000000"/>
                <w:sz w:val="24"/>
                <w:szCs w:val="24"/>
              </w:rPr>
              <w:t xml:space="preserve"> ZA ROK 2014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C80" w:rsidRPr="00814C80" w:rsidTr="00814C80">
        <w:trPr>
          <w:trHeight w:val="330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PŘÍJMY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 xml:space="preserve">Dotace Obce </w:t>
            </w:r>
            <w:proofErr w:type="spellStart"/>
            <w:r w:rsidRPr="00814C80">
              <w:rPr>
                <w:color w:val="000000"/>
                <w:sz w:val="24"/>
                <w:szCs w:val="24"/>
              </w:rPr>
              <w:t>Těšany</w:t>
            </w:r>
            <w:proofErr w:type="spellEnd"/>
            <w:r w:rsidRPr="00814C80">
              <w:rPr>
                <w:color w:val="000000"/>
                <w:sz w:val="24"/>
                <w:szCs w:val="24"/>
              </w:rPr>
              <w:t xml:space="preserve"> - provoz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20 000,00 Kč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 xml:space="preserve">příspěvky na provoz (včetně </w:t>
            </w:r>
            <w:proofErr w:type="spellStart"/>
            <w:r w:rsidRPr="00814C80">
              <w:rPr>
                <w:color w:val="000000"/>
                <w:sz w:val="24"/>
                <w:szCs w:val="24"/>
              </w:rPr>
              <w:t>přísp.na</w:t>
            </w:r>
            <w:proofErr w:type="spellEnd"/>
            <w:r w:rsidRPr="00814C80">
              <w:rPr>
                <w:color w:val="000000"/>
                <w:sz w:val="24"/>
                <w:szCs w:val="24"/>
              </w:rPr>
              <w:t xml:space="preserve"> tábor</w:t>
            </w:r>
            <w:r>
              <w:rPr>
                <w:color w:val="000000"/>
                <w:sz w:val="24"/>
                <w:szCs w:val="24"/>
              </w:rPr>
              <w:t xml:space="preserve"> od rodičů</w:t>
            </w:r>
            <w:r w:rsidRPr="00814C8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55 057,00 Kč</w:t>
            </w:r>
          </w:p>
        </w:tc>
      </w:tr>
      <w:tr w:rsidR="00814C80" w:rsidRPr="00814C80" w:rsidTr="00814C80">
        <w:trPr>
          <w:trHeight w:val="330"/>
        </w:trPr>
        <w:tc>
          <w:tcPr>
            <w:tcW w:w="97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bonus za vedení účtu KB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1 868,00 Kč</w:t>
            </w:r>
          </w:p>
        </w:tc>
      </w:tr>
      <w:tr w:rsidR="00814C80" w:rsidRPr="00814C80" w:rsidTr="00814C80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PŘÍJMY CELKEM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76 925,00 Kč</w:t>
            </w:r>
          </w:p>
        </w:tc>
      </w:tr>
      <w:tr w:rsidR="00814C80" w:rsidRPr="00814C80" w:rsidTr="00814C80">
        <w:trPr>
          <w:trHeight w:val="330"/>
        </w:trPr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VÝDAJE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hračky a vybavení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21 813,00 Kč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provozní náklady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16 120,00 Kč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 xml:space="preserve">základní </w:t>
            </w:r>
            <w:proofErr w:type="gramStart"/>
            <w:r w:rsidRPr="00814C80">
              <w:rPr>
                <w:color w:val="000000"/>
                <w:sz w:val="24"/>
                <w:szCs w:val="24"/>
              </w:rPr>
              <w:t>potraviny  tábor</w:t>
            </w:r>
            <w:proofErr w:type="gramEnd"/>
            <w:r w:rsidRPr="00814C80">
              <w:rPr>
                <w:color w:val="000000"/>
                <w:sz w:val="24"/>
                <w:szCs w:val="24"/>
              </w:rPr>
              <w:t xml:space="preserve"> Robinson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9 044,00 Kč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 xml:space="preserve">nájemné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15 500,00 Kč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poplatky bance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2 734,00 Kč</w:t>
            </w:r>
          </w:p>
        </w:tc>
      </w:tr>
      <w:tr w:rsidR="00814C80" w:rsidRPr="00814C80" w:rsidTr="00814C80">
        <w:trPr>
          <w:trHeight w:val="330"/>
        </w:trPr>
        <w:tc>
          <w:tcPr>
            <w:tcW w:w="9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náklady na mzdy a odvody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14 850,00 Kč</w:t>
            </w:r>
          </w:p>
        </w:tc>
      </w:tr>
      <w:tr w:rsidR="00814C80" w:rsidRPr="00814C80" w:rsidTr="00814C80">
        <w:trPr>
          <w:trHeight w:val="330"/>
        </w:trPr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VÝDAJE CELKEM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80 061,00 Kč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 xml:space="preserve">závazky 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7 000,00 Kč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 xml:space="preserve">PZ pokladny k </w:t>
            </w:r>
            <w:proofErr w:type="gramStart"/>
            <w:r w:rsidRPr="00814C80">
              <w:rPr>
                <w:color w:val="000000"/>
                <w:sz w:val="24"/>
                <w:szCs w:val="24"/>
              </w:rPr>
              <w:t>1.1.2014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7 771,00 Kč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 xml:space="preserve">PZ banky k </w:t>
            </w:r>
            <w:proofErr w:type="gramStart"/>
            <w:r w:rsidRPr="00814C80">
              <w:rPr>
                <w:color w:val="000000"/>
                <w:sz w:val="24"/>
                <w:szCs w:val="24"/>
              </w:rPr>
              <w:t>1.1.2014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2 974,00 Kč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KZ pokladny k 31,12.2014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4 309,00 Kč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 xml:space="preserve">KZ banky k </w:t>
            </w:r>
            <w:proofErr w:type="gramStart"/>
            <w:r w:rsidRPr="00814C80">
              <w:rPr>
                <w:color w:val="000000"/>
                <w:sz w:val="24"/>
                <w:szCs w:val="24"/>
              </w:rPr>
              <w:t>31.12.2014</w:t>
            </w:r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3 300,00 Kč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celkový zůstatek hotovosti</w:t>
            </w: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7 609,00 Kč</w:t>
            </w: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14C80">
              <w:rPr>
                <w:color w:val="000000"/>
                <w:sz w:val="24"/>
                <w:szCs w:val="24"/>
              </w:rPr>
              <w:t>zprávu hospodaření vypracovala: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4C80" w:rsidRPr="00814C80" w:rsidTr="00814C80">
        <w:trPr>
          <w:trHeight w:val="315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4C80" w:rsidRPr="00814C80" w:rsidRDefault="00814C80" w:rsidP="00814C80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814C80">
              <w:rPr>
                <w:b/>
                <w:bCs/>
                <w:color w:val="000000"/>
                <w:sz w:val="24"/>
                <w:szCs w:val="24"/>
              </w:rPr>
              <w:t>Radka Sigmundová</w:t>
            </w:r>
          </w:p>
        </w:tc>
      </w:tr>
    </w:tbl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814C80" w:rsidRDefault="00814C80" w:rsidP="00C368F7"/>
    <w:p w:rsidR="00C368F7" w:rsidRDefault="00C368F7" w:rsidP="00C368F7"/>
    <w:p w:rsidR="005B539D" w:rsidRDefault="005B539D"/>
    <w:sectPr w:rsidR="005B539D" w:rsidSect="00D57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75D"/>
    <w:multiLevelType w:val="hybridMultilevel"/>
    <w:tmpl w:val="23BEAD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368F7"/>
    <w:rsid w:val="002D52FC"/>
    <w:rsid w:val="002F62C8"/>
    <w:rsid w:val="004109E1"/>
    <w:rsid w:val="004D7980"/>
    <w:rsid w:val="005B2BC2"/>
    <w:rsid w:val="005B539D"/>
    <w:rsid w:val="006A5526"/>
    <w:rsid w:val="00814C80"/>
    <w:rsid w:val="00937BA4"/>
    <w:rsid w:val="00B94AF4"/>
    <w:rsid w:val="00C368F7"/>
    <w:rsid w:val="00E91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68F7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368F7"/>
    <w:rPr>
      <w:color w:val="0000FF"/>
      <w:u w:val="single"/>
    </w:rPr>
  </w:style>
  <w:style w:type="paragraph" w:customStyle="1" w:styleId="Default">
    <w:name w:val="Default"/>
    <w:rsid w:val="004D79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cnamysak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483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5</cp:revision>
  <dcterms:created xsi:type="dcterms:W3CDTF">2015-10-29T14:58:00Z</dcterms:created>
  <dcterms:modified xsi:type="dcterms:W3CDTF">2016-11-21T20:17:00Z</dcterms:modified>
</cp:coreProperties>
</file>